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5228"/>
        <w:gridCol w:w="5228"/>
      </w:tblGrid>
      <w:tr w:rsidR="00FC6042" w14:paraId="2FA82139" w14:textId="77777777" w:rsidTr="00FC6042">
        <w:tc>
          <w:tcPr>
            <w:tcW w:w="5228" w:type="dxa"/>
          </w:tcPr>
          <w:p w14:paraId="02BFBAAD" w14:textId="79021A18" w:rsidR="00FC6042" w:rsidRPr="00FC6042" w:rsidRDefault="00FC6042">
            <w:pPr>
              <w:rPr>
                <w:b/>
                <w:bCs/>
              </w:rPr>
            </w:pPr>
            <w:r w:rsidRPr="00FC6042">
              <w:rPr>
                <w:b/>
                <w:bCs/>
              </w:rPr>
              <w:t>Advancing contact angle</w:t>
            </w:r>
          </w:p>
        </w:tc>
        <w:tc>
          <w:tcPr>
            <w:tcW w:w="5228" w:type="dxa"/>
          </w:tcPr>
          <w:p w14:paraId="7D73CCC0" w14:textId="77777777" w:rsidR="00FC6042" w:rsidRDefault="00FC6042">
            <w:r w:rsidRPr="00FC6042">
              <w:t>On a tilted plate the contact of a liquid on a solid will be different at different contact points. The advancing contact angle is the biggest of these.</w:t>
            </w:r>
          </w:p>
          <w:p w14:paraId="10693879" w14:textId="2C1E33E9" w:rsidR="00FC6042" w:rsidRDefault="00FC6042"/>
        </w:tc>
      </w:tr>
      <w:tr w:rsidR="00FC6042" w14:paraId="734BC226" w14:textId="77777777" w:rsidTr="00FC6042">
        <w:tc>
          <w:tcPr>
            <w:tcW w:w="5228" w:type="dxa"/>
          </w:tcPr>
          <w:p w14:paraId="600F5914" w14:textId="617E80CA" w:rsidR="00FC6042" w:rsidRPr="00FC6042" w:rsidRDefault="00FC6042">
            <w:pPr>
              <w:rPr>
                <w:b/>
                <w:bCs/>
              </w:rPr>
            </w:pPr>
            <w:r w:rsidRPr="00FC6042">
              <w:rPr>
                <w:b/>
                <w:bCs/>
              </w:rPr>
              <w:t>BET adsorption isotherm for gas-solid interface</w:t>
            </w:r>
          </w:p>
        </w:tc>
        <w:tc>
          <w:tcPr>
            <w:tcW w:w="5228" w:type="dxa"/>
          </w:tcPr>
          <w:p w14:paraId="1D7A16BF" w14:textId="77777777" w:rsidR="00FC6042" w:rsidRDefault="00FC6042">
            <w:r w:rsidRPr="00FC6042">
              <w:t>Used to describe physical multilayer adsorption. It was developed to resemble the Langmuir equation but to be capable of describing physical multilayer adsorption as well. Limitations of BET: absence of lateral interactions between adsorbed molecules, valid up to relative pressures P_0/P=0.4, not always good agreement with calorimetric measurements, extension to n-layer for porous materials yield complex equations that cannot be expressed in linear form.</w:t>
            </w:r>
          </w:p>
          <w:p w14:paraId="47D93825" w14:textId="50D0F51B" w:rsidR="00FC6042" w:rsidRDefault="00FC6042"/>
        </w:tc>
      </w:tr>
      <w:tr w:rsidR="00FC6042" w14:paraId="7B436B0E" w14:textId="77777777" w:rsidTr="00FC6042">
        <w:tc>
          <w:tcPr>
            <w:tcW w:w="5228" w:type="dxa"/>
          </w:tcPr>
          <w:p w14:paraId="3C641C6C" w14:textId="0EFF104B" w:rsidR="00FC6042" w:rsidRPr="00FC6042" w:rsidRDefault="00FC6042">
            <w:pPr>
              <w:rPr>
                <w:b/>
                <w:bCs/>
              </w:rPr>
            </w:pPr>
            <w:r w:rsidRPr="00FC6042">
              <w:rPr>
                <w:b/>
                <w:bCs/>
              </w:rPr>
              <w:t>Brownian motion</w:t>
            </w:r>
          </w:p>
        </w:tc>
        <w:tc>
          <w:tcPr>
            <w:tcW w:w="5228" w:type="dxa"/>
          </w:tcPr>
          <w:p w14:paraId="0E1746D4" w14:textId="77777777" w:rsidR="00FC6042" w:rsidRDefault="00FC6042">
            <w:r w:rsidRPr="00FC6042">
              <w:t>The random zig-zag motion of individual particles in colloids resulting from collisions with the suspending medium, other particles, and the vessel. The smaller the particles, the more evident is their Brownian motion. For spherical particles, the Brownian motion is a simple movement leading to diffusion. For more complex particle shapes there might also be rotational movement.</w:t>
            </w:r>
          </w:p>
          <w:p w14:paraId="67A3355F" w14:textId="44668942" w:rsidR="00FC6042" w:rsidRDefault="00FC6042"/>
        </w:tc>
      </w:tr>
      <w:tr w:rsidR="00FC6042" w14:paraId="7553858E" w14:textId="77777777" w:rsidTr="00FC6042">
        <w:tc>
          <w:tcPr>
            <w:tcW w:w="5228" w:type="dxa"/>
          </w:tcPr>
          <w:p w14:paraId="646EE75A" w14:textId="3CCEEE46" w:rsidR="00FC6042" w:rsidRPr="00FC6042" w:rsidRDefault="00FC6042" w:rsidP="00FC6042">
            <w:pPr>
              <w:tabs>
                <w:tab w:val="left" w:pos="3670"/>
              </w:tabs>
              <w:rPr>
                <w:b/>
                <w:bCs/>
              </w:rPr>
            </w:pPr>
            <w:r w:rsidRPr="00FC6042">
              <w:rPr>
                <w:b/>
                <w:bCs/>
              </w:rPr>
              <w:t>Capillary condensation</w:t>
            </w:r>
          </w:p>
        </w:tc>
        <w:tc>
          <w:tcPr>
            <w:tcW w:w="5228" w:type="dxa"/>
          </w:tcPr>
          <w:p w14:paraId="3DF9A90D" w14:textId="77777777" w:rsidR="00FC6042" w:rsidRDefault="00FC6042" w:rsidP="00FC6042">
            <w:pPr>
              <w:tabs>
                <w:tab w:val="left" w:pos="980"/>
              </w:tabs>
            </w:pPr>
            <w:r w:rsidRPr="00FC6042">
              <w:t>As can be seen from the Kelvin Equation, condensation of vapor at a concave liquid interphase will occur at a lower pressure than the standard vapor pressure at the given temperature.</w:t>
            </w:r>
          </w:p>
          <w:p w14:paraId="0DAE5DDC" w14:textId="5751DFB3" w:rsidR="00FC6042" w:rsidRDefault="00FC6042" w:rsidP="00FC6042">
            <w:pPr>
              <w:tabs>
                <w:tab w:val="left" w:pos="980"/>
              </w:tabs>
            </w:pPr>
          </w:p>
        </w:tc>
      </w:tr>
      <w:tr w:rsidR="00FC6042" w14:paraId="7F16CFE5" w14:textId="77777777" w:rsidTr="00FC6042">
        <w:tc>
          <w:tcPr>
            <w:tcW w:w="5228" w:type="dxa"/>
          </w:tcPr>
          <w:p w14:paraId="2037811D" w14:textId="5E9077FD" w:rsidR="00FC6042" w:rsidRPr="00FC6042" w:rsidRDefault="00FC6042">
            <w:pPr>
              <w:rPr>
                <w:b/>
                <w:bCs/>
              </w:rPr>
            </w:pPr>
            <w:r w:rsidRPr="00FC6042">
              <w:rPr>
                <w:b/>
                <w:bCs/>
              </w:rPr>
              <w:t>CCC (Critical coagulation concentration)</w:t>
            </w:r>
          </w:p>
        </w:tc>
        <w:tc>
          <w:tcPr>
            <w:tcW w:w="5228" w:type="dxa"/>
          </w:tcPr>
          <w:p w14:paraId="2A78A8CF" w14:textId="77777777" w:rsidR="00FC6042" w:rsidRDefault="00FC6042">
            <w:r w:rsidRPr="00FC6042">
              <w:t>When the electrolyte concentration is sufficiently high to result in the total potential (V) being zero at the same distance the derivative of V with respect to the distance is 0. This means that the CCC is the minimum concentration of a specific electrolyte to cause the dispersion to coagulate. The value of the CCC depends strongly on the valency of the counter-ions as described by the Schultze-Hardy rule.</w:t>
            </w:r>
          </w:p>
          <w:p w14:paraId="0C60F800" w14:textId="1899CA82" w:rsidR="00FC6042" w:rsidRDefault="00FC6042"/>
        </w:tc>
      </w:tr>
      <w:tr w:rsidR="00FC6042" w14:paraId="50BDE0D1" w14:textId="77777777" w:rsidTr="00FC6042">
        <w:tc>
          <w:tcPr>
            <w:tcW w:w="5228" w:type="dxa"/>
          </w:tcPr>
          <w:p w14:paraId="2932715D" w14:textId="5BE116A7" w:rsidR="00FC6042" w:rsidRPr="00FC6042" w:rsidRDefault="00FC6042">
            <w:pPr>
              <w:rPr>
                <w:b/>
                <w:bCs/>
              </w:rPr>
            </w:pPr>
            <w:r w:rsidRPr="00FC6042">
              <w:rPr>
                <w:b/>
                <w:bCs/>
              </w:rPr>
              <w:t>Coagulation</w:t>
            </w:r>
          </w:p>
        </w:tc>
        <w:tc>
          <w:tcPr>
            <w:tcW w:w="5228" w:type="dxa"/>
          </w:tcPr>
          <w:p w14:paraId="61A730B6" w14:textId="77777777" w:rsidR="00FC6042" w:rsidRDefault="00FC6042">
            <w:r w:rsidRPr="00FC6042">
              <w:t>A word which is often used to describe aggregation when the destabilization is caused by salts or charge neutralization.</w:t>
            </w:r>
          </w:p>
          <w:p w14:paraId="0F33C94A" w14:textId="0B71E27B" w:rsidR="00FC6042" w:rsidRDefault="00FC6042"/>
        </w:tc>
      </w:tr>
      <w:tr w:rsidR="00FC6042" w14:paraId="2E3802C8" w14:textId="77777777" w:rsidTr="00FC6042">
        <w:tc>
          <w:tcPr>
            <w:tcW w:w="5228" w:type="dxa"/>
          </w:tcPr>
          <w:p w14:paraId="73D2DE30" w14:textId="0694EAE7" w:rsidR="00FC6042" w:rsidRPr="00FC6042" w:rsidRDefault="00FC6042">
            <w:pPr>
              <w:rPr>
                <w:b/>
                <w:bCs/>
              </w:rPr>
            </w:pPr>
            <w:r w:rsidRPr="00FC6042">
              <w:rPr>
                <w:b/>
                <w:bCs/>
              </w:rPr>
              <w:t>Coalescence</w:t>
            </w:r>
          </w:p>
        </w:tc>
        <w:tc>
          <w:tcPr>
            <w:tcW w:w="5228" w:type="dxa"/>
          </w:tcPr>
          <w:p w14:paraId="384CD13A" w14:textId="77777777" w:rsidR="00FC6042" w:rsidRDefault="00FC6042">
            <w:r w:rsidRPr="00FC6042">
              <w:t>Drops/bubbles fuse together to form a single larger drop/bubble. This leads to a reduction in the surface area.</w:t>
            </w:r>
          </w:p>
          <w:p w14:paraId="58AEC99E" w14:textId="77777777" w:rsidR="00FC6042" w:rsidRDefault="00FC6042"/>
          <w:p w14:paraId="7BA2C3A1" w14:textId="3CAB7791" w:rsidR="00FC6042" w:rsidRDefault="00FC6042"/>
        </w:tc>
      </w:tr>
      <w:tr w:rsidR="00FC6042" w14:paraId="6E22A542" w14:textId="77777777" w:rsidTr="00FC6042">
        <w:tc>
          <w:tcPr>
            <w:tcW w:w="5228" w:type="dxa"/>
          </w:tcPr>
          <w:p w14:paraId="400F21F5" w14:textId="7390394E" w:rsidR="00FC6042" w:rsidRPr="00FC6042" w:rsidRDefault="00FC6042">
            <w:pPr>
              <w:rPr>
                <w:b/>
                <w:bCs/>
              </w:rPr>
            </w:pPr>
            <w:r>
              <w:rPr>
                <w:b/>
                <w:bCs/>
              </w:rPr>
              <w:lastRenderedPageBreak/>
              <w:t>Creaming</w:t>
            </w:r>
          </w:p>
        </w:tc>
        <w:tc>
          <w:tcPr>
            <w:tcW w:w="5228" w:type="dxa"/>
          </w:tcPr>
          <w:p w14:paraId="0550B9FC" w14:textId="77777777" w:rsidR="00FC6042" w:rsidRDefault="00FC6042">
            <w:r w:rsidRPr="00FC6042">
              <w:t>Describes the upward migration of the dispersed phase due to buoyancy and is a reversible process which increases the likelihood of coalescence (in emulsions). Creaming will occur when the density of the particles is less than that of the liquid medium, and the velocity can be calculated by Stokes equation.</w:t>
            </w:r>
          </w:p>
          <w:p w14:paraId="1F969018" w14:textId="207D1FAB" w:rsidR="00FC6042" w:rsidRDefault="00FC6042"/>
        </w:tc>
      </w:tr>
      <w:tr w:rsidR="00FC6042" w14:paraId="55BEF6EB" w14:textId="77777777" w:rsidTr="00FC6042">
        <w:tc>
          <w:tcPr>
            <w:tcW w:w="5228" w:type="dxa"/>
          </w:tcPr>
          <w:p w14:paraId="2B2C20FC" w14:textId="77879D9B" w:rsidR="00FC6042" w:rsidRPr="00FC6042" w:rsidRDefault="00FC6042">
            <w:pPr>
              <w:rPr>
                <w:b/>
                <w:bCs/>
              </w:rPr>
            </w:pPr>
            <w:r w:rsidRPr="00FC6042">
              <w:rPr>
                <w:b/>
                <w:bCs/>
              </w:rPr>
              <w:t>CMC (Critical micelle concentration)</w:t>
            </w:r>
          </w:p>
        </w:tc>
        <w:tc>
          <w:tcPr>
            <w:tcW w:w="5228" w:type="dxa"/>
          </w:tcPr>
          <w:p w14:paraId="6EDDA8AE" w14:textId="77777777" w:rsidR="00FC6042" w:rsidRDefault="00FC6042">
            <w:r w:rsidRPr="00FC6042">
              <w:t>Right above this concentration, the surfactants will form micelles if the temperature is above the Kraft point. Their shape will depend on the CPP. The CMC is a threshold for many properties: After CMC, the surface tension will not be reduced by adding more surfactants, but it will cause an increase in the turbidity, solubilization and conductivity. Most micelles are spherical close to CMC, but if the concentration is increased hexagonal or lamellar phases can appear. CMC decreases with increasing length of the hydrophobic tail and for ionic surfactants, with the addition of electrolytes. The CMC of ionic surfactants increases with increasing temperature but decreases for non-ionic surfactants.</w:t>
            </w:r>
          </w:p>
          <w:p w14:paraId="56FA2735" w14:textId="12D74900" w:rsidR="00FC6042" w:rsidRDefault="00FC6042"/>
        </w:tc>
      </w:tr>
      <w:tr w:rsidR="00FC6042" w14:paraId="74972910" w14:textId="77777777" w:rsidTr="00FC6042">
        <w:tc>
          <w:tcPr>
            <w:tcW w:w="5228" w:type="dxa"/>
          </w:tcPr>
          <w:p w14:paraId="4D3A3C4D" w14:textId="1743CD13" w:rsidR="00FC6042" w:rsidRPr="00FC6042" w:rsidRDefault="00FC6042">
            <w:pPr>
              <w:rPr>
                <w:b/>
                <w:bCs/>
              </w:rPr>
            </w:pPr>
            <w:r w:rsidRPr="00FC6042">
              <w:rPr>
                <w:b/>
                <w:bCs/>
              </w:rPr>
              <w:t>Destabilization of emulsion</w:t>
            </w:r>
          </w:p>
        </w:tc>
        <w:tc>
          <w:tcPr>
            <w:tcW w:w="5228" w:type="dxa"/>
          </w:tcPr>
          <w:p w14:paraId="57E506F3" w14:textId="77777777" w:rsidR="00FC6042" w:rsidRDefault="00FC6042">
            <w:r w:rsidRPr="00FC6042">
              <w:t>Emulsions are thermodynamically unstable, so the destabilization cannot be avoided, but it can be slowed if actions are taken to prevent droplets to adhere to each other. There are many ways an emulsion can be destabilized: coalescence, breaking (phase separation), creaming, sedimentation, flocculation, coagulation, and Ostwald ripening.</w:t>
            </w:r>
          </w:p>
          <w:p w14:paraId="3AF2B2CD" w14:textId="77777777" w:rsidR="00FC6042" w:rsidRDefault="00FC6042"/>
          <w:p w14:paraId="4E28216D" w14:textId="70859A56" w:rsidR="00FC6042" w:rsidRDefault="00FC6042"/>
        </w:tc>
      </w:tr>
      <w:tr w:rsidR="00FC6042" w14:paraId="3F64E61B" w14:textId="77777777" w:rsidTr="00FC6042">
        <w:tc>
          <w:tcPr>
            <w:tcW w:w="5228" w:type="dxa"/>
          </w:tcPr>
          <w:p w14:paraId="03C1608A" w14:textId="1AE2066D" w:rsidR="00FC6042" w:rsidRPr="00FC6042" w:rsidRDefault="00FC6042">
            <w:pPr>
              <w:rPr>
                <w:b/>
                <w:bCs/>
              </w:rPr>
            </w:pPr>
            <w:r w:rsidRPr="00FC6042">
              <w:rPr>
                <w:b/>
                <w:bCs/>
              </w:rPr>
              <w:t>DVLO theory</w:t>
            </w:r>
          </w:p>
        </w:tc>
        <w:tc>
          <w:tcPr>
            <w:tcW w:w="5228" w:type="dxa"/>
          </w:tcPr>
          <w:p w14:paraId="4877F4EE" w14:textId="77777777" w:rsidR="00FC6042" w:rsidRDefault="00FC6042">
            <w:r w:rsidRPr="00FC6042">
              <w:t>A theory which quantifies the stability of colloidal systems by combining the contributions from the attractive Van der Waals forces and the repulsive electrostatic ones (or the corresponding potential energies). It does not take the effect of the steric repulsive force, hydration force, or hydrophobic or hydrophilic forces. At medium to large separations, the electrostatic forces dominate. At very large or short distances, Van der Waals may overcome them. Stability is obtained by having a high surface/zeta potential, low electrolyte concentration, low electrolyte valency and small or negative Hamaker constant.</w:t>
            </w:r>
          </w:p>
          <w:p w14:paraId="31D675CF" w14:textId="77777777" w:rsidR="00FC6042" w:rsidRDefault="00FC6042"/>
          <w:p w14:paraId="2CA1346C" w14:textId="0CC11787" w:rsidR="00FC6042" w:rsidRDefault="00FC6042"/>
        </w:tc>
      </w:tr>
      <w:tr w:rsidR="00FC6042" w14:paraId="54A9154B" w14:textId="77777777" w:rsidTr="00FC6042">
        <w:tc>
          <w:tcPr>
            <w:tcW w:w="5228" w:type="dxa"/>
          </w:tcPr>
          <w:p w14:paraId="044C921E" w14:textId="0A4A78F5" w:rsidR="00FC6042" w:rsidRPr="00FC6042" w:rsidRDefault="00FC6042" w:rsidP="00FC6042">
            <w:pPr>
              <w:rPr>
                <w:b/>
                <w:bCs/>
              </w:rPr>
            </w:pPr>
            <w:r w:rsidRPr="00FC6042">
              <w:rPr>
                <w:b/>
                <w:bCs/>
              </w:rPr>
              <w:lastRenderedPageBreak/>
              <w:t>Destabilization of foam</w:t>
            </w:r>
          </w:p>
        </w:tc>
        <w:tc>
          <w:tcPr>
            <w:tcW w:w="5228" w:type="dxa"/>
          </w:tcPr>
          <w:p w14:paraId="660F0B18" w14:textId="77777777" w:rsidR="00FC6042" w:rsidRDefault="00FC6042" w:rsidP="00FC6042">
            <w:r w:rsidRPr="00FC6042">
              <w:t>All foams are thermodynamically unstable. The higher the surface tension, the more work is required to produce the foam. The main mechanisms of foam destabilization are gas diffusion, lamella rupture and coalescence and drainage. Gas diffusion is basically the same as Ostwald ripening: The air phase in small gas bubbles have higher pressure and therefore higher solubility than the air phase in bigger bubbles. Therefor gas will diffuse from the small bubbles to the bigger ones. The impact of this destabilization mechanism depends on the solubility of the air phase in the liquid. Film rupture originates from disturbances which cause surface waves. The rupture thickness of the lamella is drastically decreased by adding surfactants. Drainage of a lamella due to gravity is usually the most rapid destabilization mechanism. Drainage can also happen in horizontal directions, where liquid will flow from lamella to plateau borders.</w:t>
            </w:r>
          </w:p>
          <w:p w14:paraId="088E42E6" w14:textId="77777777" w:rsidR="00FC6042" w:rsidRDefault="00FC6042" w:rsidP="00FC6042"/>
        </w:tc>
      </w:tr>
      <w:tr w:rsidR="00FC6042" w14:paraId="32F8BBF4" w14:textId="77777777" w:rsidTr="00FC6042">
        <w:tc>
          <w:tcPr>
            <w:tcW w:w="5228" w:type="dxa"/>
          </w:tcPr>
          <w:p w14:paraId="53676A40" w14:textId="77777777" w:rsidR="00FC6042" w:rsidRPr="00FC6042" w:rsidRDefault="00FC6042" w:rsidP="00FC6042">
            <w:pPr>
              <w:rPr>
                <w:b/>
                <w:bCs/>
              </w:rPr>
            </w:pPr>
          </w:p>
        </w:tc>
        <w:tc>
          <w:tcPr>
            <w:tcW w:w="5228" w:type="dxa"/>
          </w:tcPr>
          <w:p w14:paraId="4163F69D" w14:textId="77777777" w:rsidR="00FC6042" w:rsidRDefault="00FC6042" w:rsidP="00FC6042"/>
        </w:tc>
      </w:tr>
      <w:tr w:rsidR="00FC6042" w14:paraId="4E7FD8F9" w14:textId="77777777" w:rsidTr="00FC6042">
        <w:tc>
          <w:tcPr>
            <w:tcW w:w="5228" w:type="dxa"/>
          </w:tcPr>
          <w:p w14:paraId="7C27BE10" w14:textId="77777777" w:rsidR="00FC6042" w:rsidRPr="00FC6042" w:rsidRDefault="00FC6042" w:rsidP="00FC6042">
            <w:pPr>
              <w:rPr>
                <w:b/>
                <w:bCs/>
              </w:rPr>
            </w:pPr>
          </w:p>
        </w:tc>
        <w:tc>
          <w:tcPr>
            <w:tcW w:w="5228" w:type="dxa"/>
          </w:tcPr>
          <w:p w14:paraId="1BB37442" w14:textId="77777777" w:rsidR="00FC6042" w:rsidRDefault="00FC6042" w:rsidP="00FC6042"/>
        </w:tc>
      </w:tr>
      <w:tr w:rsidR="00FC6042" w14:paraId="2180A889" w14:textId="77777777" w:rsidTr="00FC6042">
        <w:tc>
          <w:tcPr>
            <w:tcW w:w="5228" w:type="dxa"/>
          </w:tcPr>
          <w:p w14:paraId="2D2DF4C2" w14:textId="77777777" w:rsidR="00FC6042" w:rsidRPr="00FC6042" w:rsidRDefault="00FC6042" w:rsidP="00FC6042">
            <w:pPr>
              <w:rPr>
                <w:b/>
                <w:bCs/>
              </w:rPr>
            </w:pPr>
          </w:p>
        </w:tc>
        <w:tc>
          <w:tcPr>
            <w:tcW w:w="5228" w:type="dxa"/>
          </w:tcPr>
          <w:p w14:paraId="57137BC9" w14:textId="77777777" w:rsidR="00FC6042" w:rsidRDefault="00FC6042" w:rsidP="00FC6042"/>
        </w:tc>
      </w:tr>
      <w:tr w:rsidR="00FC6042" w14:paraId="5BDD45D5" w14:textId="77777777" w:rsidTr="00FC6042">
        <w:tc>
          <w:tcPr>
            <w:tcW w:w="5228" w:type="dxa"/>
          </w:tcPr>
          <w:p w14:paraId="48D734B9" w14:textId="77777777" w:rsidR="00FC6042" w:rsidRPr="00FC6042" w:rsidRDefault="00FC6042" w:rsidP="00FC6042">
            <w:pPr>
              <w:rPr>
                <w:b/>
                <w:bCs/>
              </w:rPr>
            </w:pPr>
          </w:p>
        </w:tc>
        <w:tc>
          <w:tcPr>
            <w:tcW w:w="5228" w:type="dxa"/>
          </w:tcPr>
          <w:p w14:paraId="030E6FA2" w14:textId="77777777" w:rsidR="00FC6042" w:rsidRDefault="00FC6042" w:rsidP="00FC6042"/>
        </w:tc>
      </w:tr>
      <w:tr w:rsidR="00FC6042" w14:paraId="7DB04786" w14:textId="77777777" w:rsidTr="00FC6042">
        <w:tc>
          <w:tcPr>
            <w:tcW w:w="5228" w:type="dxa"/>
          </w:tcPr>
          <w:p w14:paraId="6BC88242" w14:textId="77777777" w:rsidR="00FC6042" w:rsidRPr="00FC6042" w:rsidRDefault="00FC6042" w:rsidP="00FC6042">
            <w:pPr>
              <w:rPr>
                <w:b/>
                <w:bCs/>
              </w:rPr>
            </w:pPr>
          </w:p>
        </w:tc>
        <w:tc>
          <w:tcPr>
            <w:tcW w:w="5228" w:type="dxa"/>
          </w:tcPr>
          <w:p w14:paraId="063A17D0" w14:textId="77777777" w:rsidR="00FC6042" w:rsidRDefault="00FC6042" w:rsidP="00FC6042"/>
        </w:tc>
      </w:tr>
      <w:tr w:rsidR="00FC6042" w14:paraId="7DB31DB7" w14:textId="77777777" w:rsidTr="00FC6042">
        <w:tc>
          <w:tcPr>
            <w:tcW w:w="5228" w:type="dxa"/>
          </w:tcPr>
          <w:p w14:paraId="17E2521D" w14:textId="77777777" w:rsidR="00FC6042" w:rsidRPr="00FC6042" w:rsidRDefault="00FC6042" w:rsidP="00FC6042">
            <w:pPr>
              <w:rPr>
                <w:b/>
                <w:bCs/>
              </w:rPr>
            </w:pPr>
          </w:p>
        </w:tc>
        <w:tc>
          <w:tcPr>
            <w:tcW w:w="5228" w:type="dxa"/>
          </w:tcPr>
          <w:p w14:paraId="6074D8EE" w14:textId="77777777" w:rsidR="00FC6042" w:rsidRDefault="00FC6042" w:rsidP="00FC6042"/>
        </w:tc>
      </w:tr>
      <w:tr w:rsidR="00FC6042" w14:paraId="58D6A4A3" w14:textId="77777777" w:rsidTr="00FC6042">
        <w:tc>
          <w:tcPr>
            <w:tcW w:w="5228" w:type="dxa"/>
          </w:tcPr>
          <w:p w14:paraId="6E330B89" w14:textId="77777777" w:rsidR="00FC6042" w:rsidRPr="00FC6042" w:rsidRDefault="00FC6042" w:rsidP="00FC6042">
            <w:pPr>
              <w:rPr>
                <w:b/>
                <w:bCs/>
              </w:rPr>
            </w:pPr>
          </w:p>
        </w:tc>
        <w:tc>
          <w:tcPr>
            <w:tcW w:w="5228" w:type="dxa"/>
          </w:tcPr>
          <w:p w14:paraId="374E7B22" w14:textId="77777777" w:rsidR="00FC6042" w:rsidRDefault="00FC6042" w:rsidP="00FC6042"/>
        </w:tc>
      </w:tr>
      <w:tr w:rsidR="00FC6042" w14:paraId="3D1D3124" w14:textId="77777777" w:rsidTr="00FC6042">
        <w:tc>
          <w:tcPr>
            <w:tcW w:w="5228" w:type="dxa"/>
          </w:tcPr>
          <w:p w14:paraId="7F6612E2" w14:textId="77777777" w:rsidR="00FC6042" w:rsidRPr="00FC6042" w:rsidRDefault="00FC6042" w:rsidP="00FC6042">
            <w:pPr>
              <w:rPr>
                <w:b/>
                <w:bCs/>
              </w:rPr>
            </w:pPr>
          </w:p>
        </w:tc>
        <w:tc>
          <w:tcPr>
            <w:tcW w:w="5228" w:type="dxa"/>
          </w:tcPr>
          <w:p w14:paraId="09EF51AE" w14:textId="77777777" w:rsidR="00FC6042" w:rsidRDefault="00FC6042" w:rsidP="00FC6042"/>
        </w:tc>
      </w:tr>
      <w:tr w:rsidR="00FC6042" w14:paraId="17652C20" w14:textId="77777777" w:rsidTr="00FC6042">
        <w:tc>
          <w:tcPr>
            <w:tcW w:w="5228" w:type="dxa"/>
          </w:tcPr>
          <w:p w14:paraId="420E1725" w14:textId="77777777" w:rsidR="00FC6042" w:rsidRPr="00FC6042" w:rsidRDefault="00FC6042" w:rsidP="00FC6042">
            <w:pPr>
              <w:rPr>
                <w:b/>
                <w:bCs/>
              </w:rPr>
            </w:pPr>
          </w:p>
        </w:tc>
        <w:tc>
          <w:tcPr>
            <w:tcW w:w="5228" w:type="dxa"/>
          </w:tcPr>
          <w:p w14:paraId="319AB6D7" w14:textId="77777777" w:rsidR="00FC6042" w:rsidRDefault="00FC6042" w:rsidP="00FC6042"/>
        </w:tc>
      </w:tr>
      <w:tr w:rsidR="00FC6042" w14:paraId="715E9BAF" w14:textId="77777777" w:rsidTr="00FC6042">
        <w:tc>
          <w:tcPr>
            <w:tcW w:w="5228" w:type="dxa"/>
          </w:tcPr>
          <w:p w14:paraId="0CDE40FD" w14:textId="77777777" w:rsidR="00FC6042" w:rsidRPr="00FC6042" w:rsidRDefault="00FC6042" w:rsidP="00FC6042">
            <w:pPr>
              <w:rPr>
                <w:b/>
                <w:bCs/>
              </w:rPr>
            </w:pPr>
          </w:p>
        </w:tc>
        <w:tc>
          <w:tcPr>
            <w:tcW w:w="5228" w:type="dxa"/>
          </w:tcPr>
          <w:p w14:paraId="456FE986" w14:textId="77777777" w:rsidR="00FC6042" w:rsidRDefault="00FC6042" w:rsidP="00FC6042"/>
        </w:tc>
      </w:tr>
    </w:tbl>
    <w:p w14:paraId="400B37FC" w14:textId="77777777" w:rsidR="007476D4" w:rsidRDefault="007476D4"/>
    <w:sectPr w:rsidR="007476D4" w:rsidSect="00FC60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47"/>
    <w:rsid w:val="00557DBE"/>
    <w:rsid w:val="006F1847"/>
    <w:rsid w:val="007476D4"/>
    <w:rsid w:val="008F3BE0"/>
    <w:rsid w:val="00B21978"/>
    <w:rsid w:val="00FC6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4F5E"/>
  <w15:chartTrackingRefBased/>
  <w15:docId w15:val="{728E3392-F133-49A6-AB9C-E606172E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F1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F1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F184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F184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F184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F184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F184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F184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F184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F184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F184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F184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F184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F184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F184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F184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F184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F1847"/>
    <w:rPr>
      <w:rFonts w:eastAsiaTheme="majorEastAsia" w:cstheme="majorBidi"/>
      <w:color w:val="272727" w:themeColor="text1" w:themeTint="D8"/>
    </w:rPr>
  </w:style>
  <w:style w:type="paragraph" w:styleId="Tittel">
    <w:name w:val="Title"/>
    <w:basedOn w:val="Normal"/>
    <w:next w:val="Normal"/>
    <w:link w:val="TittelTegn"/>
    <w:uiPriority w:val="10"/>
    <w:qFormat/>
    <w:rsid w:val="006F1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F184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F184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F184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F184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F1847"/>
    <w:rPr>
      <w:i/>
      <w:iCs/>
      <w:color w:val="404040" w:themeColor="text1" w:themeTint="BF"/>
    </w:rPr>
  </w:style>
  <w:style w:type="paragraph" w:styleId="Listeavsnitt">
    <w:name w:val="List Paragraph"/>
    <w:basedOn w:val="Normal"/>
    <w:uiPriority w:val="34"/>
    <w:qFormat/>
    <w:rsid w:val="006F1847"/>
    <w:pPr>
      <w:ind w:left="720"/>
      <w:contextualSpacing/>
    </w:pPr>
  </w:style>
  <w:style w:type="character" w:styleId="Sterkutheving">
    <w:name w:val="Intense Emphasis"/>
    <w:basedOn w:val="Standardskriftforavsnitt"/>
    <w:uiPriority w:val="21"/>
    <w:qFormat/>
    <w:rsid w:val="006F1847"/>
    <w:rPr>
      <w:i/>
      <w:iCs/>
      <w:color w:val="0F4761" w:themeColor="accent1" w:themeShade="BF"/>
    </w:rPr>
  </w:style>
  <w:style w:type="paragraph" w:styleId="Sterktsitat">
    <w:name w:val="Intense Quote"/>
    <w:basedOn w:val="Normal"/>
    <w:next w:val="Normal"/>
    <w:link w:val="SterktsitatTegn"/>
    <w:uiPriority w:val="30"/>
    <w:qFormat/>
    <w:rsid w:val="006F1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F1847"/>
    <w:rPr>
      <w:i/>
      <w:iCs/>
      <w:color w:val="0F4761" w:themeColor="accent1" w:themeShade="BF"/>
    </w:rPr>
  </w:style>
  <w:style w:type="character" w:styleId="Sterkreferanse">
    <w:name w:val="Intense Reference"/>
    <w:basedOn w:val="Standardskriftforavsnitt"/>
    <w:uiPriority w:val="32"/>
    <w:qFormat/>
    <w:rsid w:val="006F1847"/>
    <w:rPr>
      <w:b/>
      <w:bCs/>
      <w:smallCaps/>
      <w:color w:val="0F4761" w:themeColor="accent1" w:themeShade="BF"/>
      <w:spacing w:val="5"/>
    </w:rPr>
  </w:style>
  <w:style w:type="table" w:styleId="Tabellrutenett">
    <w:name w:val="Table Grid"/>
    <w:basedOn w:val="Vanligtabell"/>
    <w:uiPriority w:val="39"/>
    <w:rsid w:val="00FC6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757</Words>
  <Characters>4316</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Håkon Ulvik</dc:creator>
  <cp:keywords/>
  <dc:description/>
  <cp:lastModifiedBy>Håkon Ulvik</cp:lastModifiedBy>
  <cp:revision>1</cp:revision>
  <dcterms:created xsi:type="dcterms:W3CDTF">2026-04-08T15:54:00Z</dcterms:created>
  <dcterms:modified xsi:type="dcterms:W3CDTF">2026-04-09T07:51:00Z</dcterms:modified>
</cp:coreProperties>
</file>